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kern w:val="0"/>
          <w:sz w:val="44"/>
          <w:szCs w:val="44"/>
        </w:rPr>
        <w:t>陕西钢铁集团有限公司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kern w:val="0"/>
          <w:sz w:val="44"/>
          <w:szCs w:val="44"/>
        </w:rPr>
        <w:t>龙钢集团公司2</w:t>
      </w:r>
      <w:r>
        <w:rPr>
          <w:rFonts w:ascii="方正小标宋简体" w:hAnsi="方正小标宋简体" w:eastAsia="方正小标宋简体" w:cs="Arial"/>
          <w:kern w:val="0"/>
          <w:sz w:val="44"/>
          <w:szCs w:val="44"/>
        </w:rPr>
        <w:t>023</w:t>
      </w:r>
      <w:r>
        <w:rPr>
          <w:rFonts w:hint="eastAsia" w:ascii="方正小标宋简体" w:hAnsi="方正小标宋简体" w:eastAsia="方正小标宋简体" w:cs="Arial"/>
          <w:kern w:val="0"/>
          <w:sz w:val="44"/>
          <w:szCs w:val="44"/>
        </w:rPr>
        <w:t>年钢材深加工产业专业技术技能人员招聘公告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陕西钢铁集团有限公司是陕西省委、省政府为振兴陕西钢铁产业而组建的大型钢铁企业集团，2011年12月重组加入陕煤集团，具备千万吨级粗钢综合生产能力，行业竞争力排名A级（特强），2019年粗钢产量位居全国第16位，是中国西部最大的精品建材生产基地，入选国企改革“双百行动”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陕西龙门钢铁(集团)有限责任公司（以下简称“龙钢集团公司”）是陕钢集团的全资子公司。历经几十年转型发展，目前龙钢集团公司已形成钢材深加工及贸易、铁矿采选及国内矿贸易、冶金固废(水渣、钢渣、金属灰)资源化利用、电子招投标、工程建设、旅游服务等多元产业板块。地域涉及陕西西安、渭南、商洛、河南郑州等多个区域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年来，龙钢集团公司着眼绿色环保低碳发展，深度融入陕钢集团“一体两翼双千”产业集群建设，着力发展非钢多元产业。聚焦加快推进现代化矿山建设，依法治企、稳产顺行、扩大贸易、绿色发展；聚焦打造冶金固废循环经济发展示范基地，加快钢铁渣粉项目、矿渣、尾渣综合循环利用项目、新能源建设；聚焦钢材加工产业，重点建设和打造集钢材贸易及深加工、配送、仓储、物流于一体的钢筋加工配送中心，拥有西安、韩城两个加工基地。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龙钢集团公司西安泾渭新城钢材深加工智能制造项目是推进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西安基地发展</w:t>
      </w:r>
      <w:r>
        <w:rPr>
          <w:rFonts w:hint="eastAsia" w:ascii="仿宋_GB2312" w:hAnsi="仿宋" w:eastAsia="仿宋_GB2312" w:cs="仿宋"/>
          <w:sz w:val="32"/>
          <w:szCs w:val="32"/>
        </w:rPr>
        <w:t>的重要支撑，以打造总部基地、发展总部经济、争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做行业标杆为己任，持续贯彻绿色发展新理念和精益建造理念。项目通过数字化车间和智能</w:t>
      </w:r>
      <w:r>
        <w:rPr>
          <w:rFonts w:hint="eastAsia" w:ascii="仿宋_GB2312" w:hAnsi="仿宋" w:eastAsia="仿宋_GB2312" w:cs="仿宋"/>
          <w:sz w:val="32"/>
          <w:szCs w:val="32"/>
        </w:rPr>
        <w:t>化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工厂建设，为</w:t>
      </w:r>
      <w:r>
        <w:rPr>
          <w:rFonts w:hint="eastAsia" w:ascii="仿宋_GB2312" w:hAnsi="仿宋" w:eastAsia="仿宋_GB2312" w:cs="仿宋"/>
          <w:sz w:val="32"/>
          <w:szCs w:val="32"/>
        </w:rPr>
        <w:t>高端钢铁材料服务商转型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升级赋能，打造西部最大、竞争力最强的钢材加工示范基地，为陕钢集团实现“十四五”发展目标提供坚强保障和有力支撑。</w:t>
      </w:r>
      <w:r>
        <w:rPr>
          <w:rFonts w:hint="eastAsia" w:ascii="仿宋_GB2312" w:eastAsia="仿宋_GB2312"/>
          <w:sz w:val="32"/>
          <w:szCs w:val="32"/>
        </w:rPr>
        <w:t>经研究，面向社会公开招聘人才，现将招聘简章公布如下：</w:t>
      </w:r>
    </w:p>
    <w:p>
      <w:pPr>
        <w:spacing w:line="560" w:lineRule="exact"/>
        <w:ind w:firstLine="640" w:firstLineChars="200"/>
        <w:textAlignment w:val="baseline"/>
        <w:rPr>
          <w:rStyle w:val="21"/>
          <w:rFonts w:hint="default"/>
          <w:color w:val="auto"/>
        </w:rPr>
      </w:pPr>
      <w:r>
        <w:rPr>
          <w:rStyle w:val="19"/>
          <w:rFonts w:hint="default"/>
          <w:color w:val="auto"/>
        </w:rPr>
        <w:t xml:space="preserve"> 一、报名范围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rStyle w:val="21"/>
          <w:rFonts w:hint="default"/>
          <w:color w:val="auto"/>
        </w:rPr>
        <w:t xml:space="preserve">    （一）社会成熟性人才</w:t>
      </w:r>
    </w:p>
    <w:p>
      <w:pPr>
        <w:spacing w:line="560" w:lineRule="exact"/>
        <w:ind w:firstLine="640" w:firstLineChars="200"/>
        <w:textAlignment w:val="baseline"/>
        <w:rPr>
          <w:rStyle w:val="21"/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1"/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（二）受党、政纪处分且在处分期内人员，不在报名范围。</w:t>
      </w:r>
    </w:p>
    <w:p>
      <w:pPr>
        <w:spacing w:line="560" w:lineRule="exact"/>
        <w:ind w:firstLine="640" w:firstLineChars="200"/>
        <w:textAlignment w:val="baseline"/>
        <w:rPr>
          <w:rStyle w:val="19"/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9"/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二、报名时间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年1月17日—2023年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日。</w:t>
      </w:r>
      <w:r>
        <w:rPr>
          <w:rFonts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三、招聘岗</w:t>
      </w:r>
      <w:r>
        <w:rPr>
          <w:rFonts w:hint="eastAsia" w:ascii="黑体" w:hAnsi="黑体" w:eastAsia="黑体" w:cs="宋体"/>
          <w:kern w:val="0"/>
          <w:sz w:val="32"/>
          <w:szCs w:val="32"/>
        </w:rPr>
        <w:t>位及报名条件</w:t>
      </w:r>
    </w:p>
    <w:p>
      <w:pPr>
        <w:spacing w:line="560" w:lineRule="exact"/>
        <w:ind w:firstLine="640" w:firstLineChars="200"/>
        <w:textAlignment w:val="baseline"/>
        <w:rPr>
          <w:rStyle w:val="21"/>
          <w:rFonts w:hint="default"/>
          <w:color w:val="auto"/>
        </w:rPr>
      </w:pPr>
      <w:r>
        <w:rPr>
          <w:rStyle w:val="21"/>
          <w:rFonts w:hint="default"/>
          <w:color w:val="auto"/>
        </w:rPr>
        <w:t>（一） 招聘岗位</w:t>
      </w:r>
    </w:p>
    <w:tbl>
      <w:tblPr>
        <w:tblStyle w:val="10"/>
        <w:tblW w:w="9055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08"/>
        <w:gridCol w:w="5177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岗位名称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编制</w:t>
            </w:r>
          </w:p>
        </w:tc>
        <w:tc>
          <w:tcPr>
            <w:tcW w:w="5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主要职责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钢结构（含钢筋加工）技术主管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1</w:t>
            </w: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1.具备独立完成钢结构或钢桥工程全周期的能力；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2.参与编制施工组织设计及施工方案；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3.负责钢结构成本分析、参与项目总结等；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4.负责车间安全、质量、进度、成本控制、文明生产管理；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5.负责项目的具体组织和实施，按照公司项目管理要求开展工作，保证项目顺利进行。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西安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钢桥技术主管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1</w:t>
            </w:r>
          </w:p>
        </w:tc>
        <w:tc>
          <w:tcPr>
            <w:tcW w:w="5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西安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钢结构（含钢筋加工）生产作业长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1</w:t>
            </w:r>
          </w:p>
        </w:tc>
        <w:tc>
          <w:tcPr>
            <w:tcW w:w="5177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1.依据生产计划组织、实施生产，掌握生产进度，确保安全、保质保量完成生产任务；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2.组织编写、修订并审核生产文件及制度，不断规范管理，提升生产管理水平；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3.进行安全督导与巡查，排除安全隐患，严防安全事故发生，做好安全生产工作；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4.对生产过程中产品品质把控，规避各种风险因素，提高生产质量。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西安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钢桥生产作业长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1</w:t>
            </w:r>
          </w:p>
        </w:tc>
        <w:tc>
          <w:tcPr>
            <w:tcW w:w="5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西安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深化设计员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2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1.熟悉钢结构生产流程，熟练运用结构计算软件并了解钢结构设计规范；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2.独立完成钢结构深化设计工作，实现经济、实用、安全目标；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3.负责钢结构图纸细化工作，包括提报材料，核算重量；</w:t>
            </w:r>
          </w:p>
          <w:p>
            <w:pPr>
              <w:widowControl/>
              <w:spacing w:line="280" w:lineRule="exact"/>
              <w:jc w:val="left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4.负责图纸预算的审核，实现技术部门相互配合。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西安</w:t>
            </w:r>
          </w:p>
        </w:tc>
      </w:tr>
    </w:tbl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 w:cs="Helvetica"/>
          <w:sz w:val="32"/>
          <w:szCs w:val="32"/>
        </w:rPr>
      </w:pPr>
      <w:r>
        <w:rPr>
          <w:rFonts w:hint="eastAsia" w:ascii="仿宋_GB2312" w:hAnsi="仿宋" w:eastAsia="仿宋_GB2312" w:cs="Helvetica"/>
          <w:sz w:val="32"/>
          <w:szCs w:val="32"/>
        </w:rPr>
        <w:t>（二）基本条件</w:t>
      </w:r>
    </w:p>
    <w:p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1.思想政治素质高、品行端正，遵纪守法；</w:t>
      </w:r>
    </w:p>
    <w:p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2.具有良好的专业素质和能力，有良好的职业道德和敬业精神，抗压能力强，服从组织分配；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3.具备正常履行职责的身体条件；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4.具有岗位所需的专业或技能及岗位资格条件和要求；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5.基本条件、资格条件中的年龄、工作经历等时间计算截止日期为报名截止日。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 w:cs="Helvetica"/>
          <w:sz w:val="32"/>
          <w:szCs w:val="32"/>
        </w:rPr>
      </w:pPr>
      <w:r>
        <w:rPr>
          <w:rFonts w:hint="eastAsia" w:ascii="仿宋_GB2312" w:hAnsi="仿宋" w:eastAsia="仿宋_GB2312" w:cs="Helvetica"/>
          <w:sz w:val="32"/>
          <w:szCs w:val="32"/>
        </w:rPr>
        <w:t>（三）报名条件</w:t>
      </w:r>
    </w:p>
    <w:tbl>
      <w:tblPr>
        <w:tblStyle w:val="10"/>
        <w:tblW w:w="8736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806"/>
        <w:gridCol w:w="1853"/>
        <w:gridCol w:w="1415"/>
        <w:gridCol w:w="1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岗位名称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学历/职级等要求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工作经验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管理经验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钢结构（含钢筋加工）技术主管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本科及以上学历，中级及以上职称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5年及以上建筑工程工作经验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3年及以上相关专业管理经历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40周岁及以下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钢桥技术主管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本科及以上学历，中级及以上职称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5年及以上建筑工程工作经验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3年及以上相关专业管理经历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40周岁及以下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钢结构（含钢筋加工）生产作业长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大专及以上学历，初级及以上职称或高级工及以上技能等级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5年及以上建筑工程工作经验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3年及以上钢构、钢桥加工生产管理经历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钢桥生产作业长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大专及以上学历，初级及以上职称或高级工及以上技能等级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5年及以上建筑工程工作经验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3年及以上钢构、钢桥加工生产管理经历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深化设计员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大专及以上学历，中级及以上职称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5年及以上钢结构和钢筋工程深化设计经验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21"/>
                <w:rFonts w:hint="default"/>
                <w:color w:val="auto"/>
                <w:sz w:val="24"/>
              </w:rPr>
            </w:pPr>
            <w:r>
              <w:rPr>
                <w:rStyle w:val="21"/>
                <w:rFonts w:hint="default"/>
                <w:color w:val="auto"/>
                <w:sz w:val="24"/>
              </w:rPr>
              <w:t>35周岁及以下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四、招聘程序步骤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本次岗位招聘按照报名、资格审查、笔试、测评、面试、体检背调、公示、聘用等程序进行。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Style w:val="19"/>
          <w:rFonts w:hint="default"/>
          <w:color w:val="auto"/>
        </w:rPr>
        <w:t>五、招聘评价方式</w:t>
      </w:r>
    </w:p>
    <w:p>
      <w:pPr>
        <w:spacing w:line="560" w:lineRule="exact"/>
        <w:ind w:firstLine="640" w:firstLineChars="200"/>
        <w:rPr>
          <w:rFonts w:ascii="仿宋_GB2312" w:hAnsi="仿宋" w:eastAsia="仿宋_GB2312" w:cs="Helvetica"/>
          <w:sz w:val="32"/>
          <w:szCs w:val="32"/>
        </w:rPr>
      </w:pPr>
      <w:r>
        <w:rPr>
          <w:rFonts w:hint="eastAsia" w:ascii="仿宋_GB2312" w:hAnsi="仿宋" w:eastAsia="仿宋_GB2312" w:cs="Helvetica"/>
          <w:sz w:val="32"/>
          <w:szCs w:val="32"/>
        </w:rPr>
        <w:t>（一）笔试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笔试采取</w:t>
      </w:r>
      <w:r>
        <w:rPr>
          <w:rFonts w:ascii="仿宋_GB2312" w:eastAsia="仿宋_GB2312"/>
          <w:sz w:val="32"/>
          <w:szCs w:val="32"/>
        </w:rPr>
        <w:t>闭卷考试</w:t>
      </w:r>
      <w:r>
        <w:rPr>
          <w:rFonts w:hint="eastAsia" w:ascii="仿宋_GB2312" w:eastAsia="仿宋_GB2312"/>
          <w:sz w:val="32"/>
          <w:szCs w:val="32"/>
        </w:rPr>
        <w:t>，笔试</w:t>
      </w:r>
      <w:r>
        <w:rPr>
          <w:rFonts w:ascii="仿宋_GB2312" w:eastAsia="仿宋_GB2312"/>
          <w:sz w:val="32"/>
          <w:szCs w:val="32"/>
        </w:rPr>
        <w:t>内容为综合能力测试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主管岗位进行领导力测评，结果作为人员性格与岗位匹配度的评价参考，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不计入综合成绩。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Helvetica"/>
          <w:sz w:val="32"/>
          <w:szCs w:val="32"/>
        </w:rPr>
        <w:t>二）面试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面试采取竞聘演讲+结构化面试评价，包括竞聘演讲、评委提问、答辩三个环节。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（三）体检背调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1.体检参照《公务员录用体检通用标准（试行）》执行；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体检环节委托专业机构实施，并由体检中心出具体检报告。应聘人员对体检结果有疑问的，可在接到体检报告之日起的3个工作日内提交复检申请，复检只能进行1次，体检结果以复检结论为主。体检不合格的，取消该人员应聘资格；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Arial" w:eastAsia="仿宋_GB2312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</w:t>
      </w:r>
      <w:r>
        <w:rPr>
          <w:rFonts w:ascii="仿宋_GB2312" w:hAnsi="Arial" w:eastAsia="仿宋_GB2312" w:cs="Arial"/>
          <w:kern w:val="0"/>
          <w:sz w:val="32"/>
          <w:szCs w:val="32"/>
        </w:rPr>
        <w:t>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本次人员招聘采用背景调查的方式，全面了解应聘人员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身份信息、高等教育-学历、社会负面记录、商业利益冲突、网络黑名单、法院涉法涉诉信息、法院失信被执行人信息、工作履历访谈及工作表现等。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如发现个人情况与岗位条件不符、瞒报谎报个人信息等，则背景调查不合格，取消相应人员应聘资格。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Helvetica"/>
          <w:sz w:val="32"/>
          <w:szCs w:val="32"/>
        </w:rPr>
      </w:pPr>
      <w:r>
        <w:rPr>
          <w:rFonts w:hint="eastAsia" w:ascii="仿宋_GB2312" w:hAnsi="仿宋" w:eastAsia="仿宋_GB2312" w:cs="Helvetica"/>
          <w:sz w:val="32"/>
          <w:szCs w:val="32"/>
        </w:rPr>
        <w:t>（四）拟录用人员公示</w:t>
      </w:r>
    </w:p>
    <w:p>
      <w:pPr>
        <w:shd w:val="clear" w:color="auto" w:fill="FFFFFF"/>
        <w:spacing w:line="560" w:lineRule="exact"/>
        <w:ind w:firstLine="640" w:firstLineChars="200"/>
        <w:rPr>
          <w:rFonts w:ascii="宋体" w:hAnsi="宋体" w:cs="宋体"/>
          <w:spacing w:val="-18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18"/>
          <w:kern w:val="0"/>
          <w:sz w:val="32"/>
          <w:szCs w:val="32"/>
        </w:rPr>
        <w:t>人员采用择优录用原则，录用人员进行为期5个工作日的公示。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2.公示期满，对公示无异议或不影响聘用的人员，由龙钢集团公司按规定办理入职手续。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（六）聘用及</w:t>
      </w:r>
      <w:r>
        <w:rPr>
          <w:rFonts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薪酬待遇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.社会成熟性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人才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采取工资协议制商定工资。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.公司提供生活设施完善的员工宿舍和员工餐厅，文体娱乐、后勤保障等设施健全。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.正式录用人员依法签订劳动合同，各项保险均按照国家和企业有关规定办理。</w:t>
      </w:r>
    </w:p>
    <w:p>
      <w:pPr>
        <w:spacing w:line="560" w:lineRule="exact"/>
        <w:ind w:firstLine="640" w:firstLineChars="200"/>
        <w:textAlignment w:val="baseline"/>
        <w:rPr>
          <w:rStyle w:val="19"/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9"/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六、信息发布及报名方式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（一）信息发布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陕钢集团体系内通过 OA 及各子公司公众号进行招聘信息的发布。外部通过陕煤集团、前程无忧招聘网站进行招聘信息的发布。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（二）报名方式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应聘人员可从陕煤集团、陕钢集团官网通知公告栏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前程无忧西安频道下载《应聘人员登记表》，填写完毕后,会同本人身份证、学历、学位证书扫描件及《教育部学历证书电子注册备案表》（从学信网下载打印），留学回国人员须提供教育部中国留学服务中心出具的《境外学历及学位认证书》扫描件，职业资格或专业技术职务任职资格证书、获奖证书等相关证明材料的电子扫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描件，近期</w:t>
      </w:r>
      <w:r>
        <w:rPr>
          <w:rFonts w:hint="eastAsia" w:ascii="仿宋_GB2312" w:hAnsi="Calibri" w:eastAsia="仿宋_GB2312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寸免冠彩色照片，一并发送至指定邮箱</w:t>
      </w:r>
      <w:r>
        <w:rPr>
          <w:rStyle w:val="9"/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外部成熟性人才报名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投递邮箱：</w:t>
      </w:r>
      <w:r>
        <w:fldChar w:fldCharType="begin"/>
      </w:r>
      <w:r>
        <w:instrText xml:space="preserve"> HYPERLINK "mailto:sxlmgt@hr.51job.com" </w:instrText>
      </w:r>
      <w:r>
        <w:fldChar w:fldCharType="separate"/>
      </w:r>
      <w:r>
        <w:rPr>
          <w:rStyle w:val="9"/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sx</w:t>
      </w:r>
      <w:r>
        <w:rPr>
          <w:rStyle w:val="9"/>
          <w:rFonts w:ascii="仿宋_GB2312" w:hAnsi="宋体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lm</w:t>
      </w:r>
      <w:r>
        <w:rPr>
          <w:rStyle w:val="9"/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gt@hr.51job.com</w:t>
      </w:r>
      <w:r>
        <w:rPr>
          <w:rStyle w:val="9"/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，邮件标题务必填写为“应聘+岗位名称+应聘人员姓名”。</w:t>
      </w:r>
    </w:p>
    <w:p>
      <w:pPr>
        <w:spacing w:line="560" w:lineRule="exact"/>
        <w:ind w:firstLine="640" w:firstLineChars="200"/>
        <w:textAlignment w:val="baseline"/>
        <w:rPr>
          <w:rStyle w:val="19"/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9"/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七、注意事项</w:t>
      </w:r>
    </w:p>
    <w:p>
      <w:pPr>
        <w:pStyle w:val="18"/>
        <w:spacing w:after="0" w:line="560" w:lineRule="exact"/>
        <w:ind w:firstLine="640"/>
        <w:jc w:val="both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（一）每个申请报名者只能填报1个岗位。</w:t>
      </w:r>
    </w:p>
    <w:p>
      <w:pPr>
        <w:pStyle w:val="18"/>
        <w:spacing w:after="0" w:line="560" w:lineRule="exact"/>
        <w:ind w:firstLine="640"/>
        <w:jc w:val="both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（二）严格执行招聘纪律，经发现报名人员填报信息、提供资料不属实，一律取消招聘资格。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（三）招聘公告信息以陕煤集团、陕钢集</w:t>
      </w:r>
      <w:r>
        <w:rPr>
          <w:rFonts w:hint="eastAsia" w:ascii="仿宋_GB2312" w:hAnsi="宋体" w:eastAsia="仿宋_GB2312"/>
          <w:sz w:val="32"/>
          <w:szCs w:val="32"/>
        </w:rPr>
        <w:t>团、前程无忧公告为准，招聘环节不收取任何费用。</w:t>
      </w:r>
    </w:p>
    <w:p>
      <w:pPr>
        <w:adjustRightInd w:val="0"/>
        <w:snapToGrid w:val="0"/>
        <w:spacing w:line="440" w:lineRule="exact"/>
        <w:jc w:val="both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联系人：胡尊安</w:t>
      </w:r>
    </w:p>
    <w:p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联系电话：15399133399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(工作日09：00-12：00;14：00-17：00)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宋体" w:eastAsia="仿宋_GB2312"/>
          <w:sz w:val="32"/>
          <w:szCs w:val="32"/>
        </w:rPr>
        <w:t>陕钢集团应聘登记表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kern w:val="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32019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- 8 -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7"/>
    <w:rsid w:val="000029F1"/>
    <w:rsid w:val="000116F9"/>
    <w:rsid w:val="00013967"/>
    <w:rsid w:val="000208FF"/>
    <w:rsid w:val="00026C18"/>
    <w:rsid w:val="000314AA"/>
    <w:rsid w:val="000334FE"/>
    <w:rsid w:val="000443EF"/>
    <w:rsid w:val="00044E01"/>
    <w:rsid w:val="000460BC"/>
    <w:rsid w:val="00053233"/>
    <w:rsid w:val="0006621B"/>
    <w:rsid w:val="000721AC"/>
    <w:rsid w:val="000728BE"/>
    <w:rsid w:val="000728C5"/>
    <w:rsid w:val="0007312B"/>
    <w:rsid w:val="000731BE"/>
    <w:rsid w:val="00084FB7"/>
    <w:rsid w:val="00086687"/>
    <w:rsid w:val="00096AD2"/>
    <w:rsid w:val="000A2CBF"/>
    <w:rsid w:val="000A3278"/>
    <w:rsid w:val="000B1CEB"/>
    <w:rsid w:val="000B536B"/>
    <w:rsid w:val="000B5379"/>
    <w:rsid w:val="000B7025"/>
    <w:rsid w:val="000C0845"/>
    <w:rsid w:val="000C2993"/>
    <w:rsid w:val="000C43B5"/>
    <w:rsid w:val="000D46C8"/>
    <w:rsid w:val="000E0C71"/>
    <w:rsid w:val="000E6406"/>
    <w:rsid w:val="000F192A"/>
    <w:rsid w:val="00102D20"/>
    <w:rsid w:val="00117497"/>
    <w:rsid w:val="001218A5"/>
    <w:rsid w:val="00121C08"/>
    <w:rsid w:val="001278E9"/>
    <w:rsid w:val="00136F5F"/>
    <w:rsid w:val="00141869"/>
    <w:rsid w:val="00144951"/>
    <w:rsid w:val="00145730"/>
    <w:rsid w:val="00145BEF"/>
    <w:rsid w:val="0014779D"/>
    <w:rsid w:val="00150CA0"/>
    <w:rsid w:val="00152D0B"/>
    <w:rsid w:val="00162925"/>
    <w:rsid w:val="001729A7"/>
    <w:rsid w:val="001749F1"/>
    <w:rsid w:val="00176532"/>
    <w:rsid w:val="00182208"/>
    <w:rsid w:val="00194509"/>
    <w:rsid w:val="001A0797"/>
    <w:rsid w:val="001A079A"/>
    <w:rsid w:val="001A4176"/>
    <w:rsid w:val="001B0B32"/>
    <w:rsid w:val="001B171A"/>
    <w:rsid w:val="001B4E9A"/>
    <w:rsid w:val="001B6FC6"/>
    <w:rsid w:val="001C2C37"/>
    <w:rsid w:val="001C544D"/>
    <w:rsid w:val="001D39AD"/>
    <w:rsid w:val="001D4D01"/>
    <w:rsid w:val="001D5474"/>
    <w:rsid w:val="001D6E95"/>
    <w:rsid w:val="001D710D"/>
    <w:rsid w:val="001E0925"/>
    <w:rsid w:val="001E31D9"/>
    <w:rsid w:val="001E5F78"/>
    <w:rsid w:val="001F3BC3"/>
    <w:rsid w:val="00201D2A"/>
    <w:rsid w:val="00202B0C"/>
    <w:rsid w:val="002075AE"/>
    <w:rsid w:val="00210BEB"/>
    <w:rsid w:val="00215EE2"/>
    <w:rsid w:val="00220C92"/>
    <w:rsid w:val="00222C5A"/>
    <w:rsid w:val="00226B01"/>
    <w:rsid w:val="002306AC"/>
    <w:rsid w:val="00233C50"/>
    <w:rsid w:val="0023470A"/>
    <w:rsid w:val="00235584"/>
    <w:rsid w:val="00243001"/>
    <w:rsid w:val="0025127C"/>
    <w:rsid w:val="00254889"/>
    <w:rsid w:val="00255F30"/>
    <w:rsid w:val="002568CB"/>
    <w:rsid w:val="00257BF2"/>
    <w:rsid w:val="00263477"/>
    <w:rsid w:val="00274B1A"/>
    <w:rsid w:val="00274F56"/>
    <w:rsid w:val="00277933"/>
    <w:rsid w:val="0028025B"/>
    <w:rsid w:val="00280642"/>
    <w:rsid w:val="002809C8"/>
    <w:rsid w:val="00285DE9"/>
    <w:rsid w:val="00287823"/>
    <w:rsid w:val="00290231"/>
    <w:rsid w:val="002967D0"/>
    <w:rsid w:val="002979E0"/>
    <w:rsid w:val="002A0A67"/>
    <w:rsid w:val="002B0A21"/>
    <w:rsid w:val="002B7389"/>
    <w:rsid w:val="002E0F7F"/>
    <w:rsid w:val="002E5CAF"/>
    <w:rsid w:val="002E6D68"/>
    <w:rsid w:val="002E7BEF"/>
    <w:rsid w:val="0030117C"/>
    <w:rsid w:val="0030466B"/>
    <w:rsid w:val="00312061"/>
    <w:rsid w:val="00314CBE"/>
    <w:rsid w:val="00323296"/>
    <w:rsid w:val="00325860"/>
    <w:rsid w:val="00330273"/>
    <w:rsid w:val="00332A45"/>
    <w:rsid w:val="00333A11"/>
    <w:rsid w:val="00335594"/>
    <w:rsid w:val="00347861"/>
    <w:rsid w:val="00353C57"/>
    <w:rsid w:val="003564AE"/>
    <w:rsid w:val="00360081"/>
    <w:rsid w:val="00360DFD"/>
    <w:rsid w:val="003655D4"/>
    <w:rsid w:val="00372D86"/>
    <w:rsid w:val="00384DE3"/>
    <w:rsid w:val="00386BC2"/>
    <w:rsid w:val="003900EC"/>
    <w:rsid w:val="00391160"/>
    <w:rsid w:val="003A1ACA"/>
    <w:rsid w:val="003A7FD5"/>
    <w:rsid w:val="003D7610"/>
    <w:rsid w:val="003E36D5"/>
    <w:rsid w:val="003F0A35"/>
    <w:rsid w:val="003F15FC"/>
    <w:rsid w:val="004059CA"/>
    <w:rsid w:val="00406635"/>
    <w:rsid w:val="00426E97"/>
    <w:rsid w:val="00433825"/>
    <w:rsid w:val="00434269"/>
    <w:rsid w:val="00436CA0"/>
    <w:rsid w:val="00440245"/>
    <w:rsid w:val="00467BDC"/>
    <w:rsid w:val="00467D8E"/>
    <w:rsid w:val="00474080"/>
    <w:rsid w:val="00475117"/>
    <w:rsid w:val="00476D6C"/>
    <w:rsid w:val="004842A0"/>
    <w:rsid w:val="00495AF9"/>
    <w:rsid w:val="004960C5"/>
    <w:rsid w:val="00497120"/>
    <w:rsid w:val="004A69F1"/>
    <w:rsid w:val="004A6B01"/>
    <w:rsid w:val="004A6CD5"/>
    <w:rsid w:val="004C01A8"/>
    <w:rsid w:val="004C18DE"/>
    <w:rsid w:val="004C34C7"/>
    <w:rsid w:val="004C6E8B"/>
    <w:rsid w:val="004D0AF5"/>
    <w:rsid w:val="004D462F"/>
    <w:rsid w:val="004D6347"/>
    <w:rsid w:val="004E4D7B"/>
    <w:rsid w:val="004E4E08"/>
    <w:rsid w:val="00501F0D"/>
    <w:rsid w:val="00501FFF"/>
    <w:rsid w:val="00502C0B"/>
    <w:rsid w:val="00505C93"/>
    <w:rsid w:val="00516543"/>
    <w:rsid w:val="0051677C"/>
    <w:rsid w:val="00523382"/>
    <w:rsid w:val="00532A2E"/>
    <w:rsid w:val="005344D7"/>
    <w:rsid w:val="00535F9A"/>
    <w:rsid w:val="005360CD"/>
    <w:rsid w:val="00542BFF"/>
    <w:rsid w:val="0054782A"/>
    <w:rsid w:val="00551FD1"/>
    <w:rsid w:val="00552A26"/>
    <w:rsid w:val="0055701E"/>
    <w:rsid w:val="0056074B"/>
    <w:rsid w:val="00562850"/>
    <w:rsid w:val="00564D90"/>
    <w:rsid w:val="00570F2C"/>
    <w:rsid w:val="0057203A"/>
    <w:rsid w:val="005766BF"/>
    <w:rsid w:val="00580536"/>
    <w:rsid w:val="00590971"/>
    <w:rsid w:val="00594752"/>
    <w:rsid w:val="00595CC5"/>
    <w:rsid w:val="005A7AE4"/>
    <w:rsid w:val="005B0308"/>
    <w:rsid w:val="005B2304"/>
    <w:rsid w:val="005B4ADE"/>
    <w:rsid w:val="005B4EBA"/>
    <w:rsid w:val="005B6FB6"/>
    <w:rsid w:val="005C3EB4"/>
    <w:rsid w:val="005C65AD"/>
    <w:rsid w:val="005D1395"/>
    <w:rsid w:val="005D20FE"/>
    <w:rsid w:val="005D67BE"/>
    <w:rsid w:val="005E2F03"/>
    <w:rsid w:val="005F2C3A"/>
    <w:rsid w:val="005F63BC"/>
    <w:rsid w:val="00603B61"/>
    <w:rsid w:val="0060448D"/>
    <w:rsid w:val="00610B6A"/>
    <w:rsid w:val="006167F4"/>
    <w:rsid w:val="00620BED"/>
    <w:rsid w:val="00621209"/>
    <w:rsid w:val="00624B70"/>
    <w:rsid w:val="00624F4B"/>
    <w:rsid w:val="00634352"/>
    <w:rsid w:val="00635983"/>
    <w:rsid w:val="00640AC1"/>
    <w:rsid w:val="00641280"/>
    <w:rsid w:val="006473A7"/>
    <w:rsid w:val="006512E6"/>
    <w:rsid w:val="00652363"/>
    <w:rsid w:val="0066209B"/>
    <w:rsid w:val="00662C03"/>
    <w:rsid w:val="00667C18"/>
    <w:rsid w:val="0067069F"/>
    <w:rsid w:val="00680865"/>
    <w:rsid w:val="00680CB0"/>
    <w:rsid w:val="00684F07"/>
    <w:rsid w:val="00685E9C"/>
    <w:rsid w:val="0069211B"/>
    <w:rsid w:val="006958D9"/>
    <w:rsid w:val="006A5408"/>
    <w:rsid w:val="006A5822"/>
    <w:rsid w:val="006B314F"/>
    <w:rsid w:val="006B340F"/>
    <w:rsid w:val="006B3521"/>
    <w:rsid w:val="006B4B65"/>
    <w:rsid w:val="006D70C4"/>
    <w:rsid w:val="006E047C"/>
    <w:rsid w:val="006E7015"/>
    <w:rsid w:val="006F2D39"/>
    <w:rsid w:val="00700C19"/>
    <w:rsid w:val="00720069"/>
    <w:rsid w:val="0072193D"/>
    <w:rsid w:val="00734060"/>
    <w:rsid w:val="00744558"/>
    <w:rsid w:val="00756BAE"/>
    <w:rsid w:val="007671AC"/>
    <w:rsid w:val="0077429E"/>
    <w:rsid w:val="00775E72"/>
    <w:rsid w:val="0077713D"/>
    <w:rsid w:val="007812A7"/>
    <w:rsid w:val="00784BF1"/>
    <w:rsid w:val="0078777C"/>
    <w:rsid w:val="007922B2"/>
    <w:rsid w:val="007A11D1"/>
    <w:rsid w:val="007B0730"/>
    <w:rsid w:val="007B438C"/>
    <w:rsid w:val="007D75DE"/>
    <w:rsid w:val="007D7D80"/>
    <w:rsid w:val="007E0CA7"/>
    <w:rsid w:val="007E3FD4"/>
    <w:rsid w:val="007E425C"/>
    <w:rsid w:val="007E50A0"/>
    <w:rsid w:val="007E53FA"/>
    <w:rsid w:val="007F1F14"/>
    <w:rsid w:val="007F5D72"/>
    <w:rsid w:val="008060F7"/>
    <w:rsid w:val="0080689D"/>
    <w:rsid w:val="0080729A"/>
    <w:rsid w:val="008223A8"/>
    <w:rsid w:val="0084432C"/>
    <w:rsid w:val="008446C3"/>
    <w:rsid w:val="0084571C"/>
    <w:rsid w:val="00850EB9"/>
    <w:rsid w:val="008541B4"/>
    <w:rsid w:val="008564C4"/>
    <w:rsid w:val="00860478"/>
    <w:rsid w:val="00864B3F"/>
    <w:rsid w:val="00867E32"/>
    <w:rsid w:val="00867FCD"/>
    <w:rsid w:val="00876843"/>
    <w:rsid w:val="00880A45"/>
    <w:rsid w:val="00884E2D"/>
    <w:rsid w:val="008861C0"/>
    <w:rsid w:val="008A0B8E"/>
    <w:rsid w:val="008A59A6"/>
    <w:rsid w:val="008A5E95"/>
    <w:rsid w:val="008A682E"/>
    <w:rsid w:val="008A718E"/>
    <w:rsid w:val="008B7316"/>
    <w:rsid w:val="008C21C5"/>
    <w:rsid w:val="008D02DD"/>
    <w:rsid w:val="008D12BF"/>
    <w:rsid w:val="008D2131"/>
    <w:rsid w:val="008D3396"/>
    <w:rsid w:val="008D696D"/>
    <w:rsid w:val="008E130D"/>
    <w:rsid w:val="008E13A1"/>
    <w:rsid w:val="008E18B7"/>
    <w:rsid w:val="008F07A0"/>
    <w:rsid w:val="009035BE"/>
    <w:rsid w:val="00911308"/>
    <w:rsid w:val="009131A5"/>
    <w:rsid w:val="00914B59"/>
    <w:rsid w:val="0092213E"/>
    <w:rsid w:val="009407DE"/>
    <w:rsid w:val="0094169C"/>
    <w:rsid w:val="009463E8"/>
    <w:rsid w:val="009468F8"/>
    <w:rsid w:val="0095605D"/>
    <w:rsid w:val="00960231"/>
    <w:rsid w:val="00960DDB"/>
    <w:rsid w:val="0096715F"/>
    <w:rsid w:val="00967291"/>
    <w:rsid w:val="00967780"/>
    <w:rsid w:val="009678F3"/>
    <w:rsid w:val="009815FB"/>
    <w:rsid w:val="0098350F"/>
    <w:rsid w:val="009926CE"/>
    <w:rsid w:val="009B31CA"/>
    <w:rsid w:val="009C7184"/>
    <w:rsid w:val="009D636B"/>
    <w:rsid w:val="009E2DC8"/>
    <w:rsid w:val="009F65CB"/>
    <w:rsid w:val="009F6891"/>
    <w:rsid w:val="00A00FEB"/>
    <w:rsid w:val="00A018F0"/>
    <w:rsid w:val="00A10293"/>
    <w:rsid w:val="00A21009"/>
    <w:rsid w:val="00A21E0F"/>
    <w:rsid w:val="00A335A6"/>
    <w:rsid w:val="00A42DDD"/>
    <w:rsid w:val="00A43581"/>
    <w:rsid w:val="00A521BE"/>
    <w:rsid w:val="00A60230"/>
    <w:rsid w:val="00A65B4D"/>
    <w:rsid w:val="00A80D2B"/>
    <w:rsid w:val="00A8135E"/>
    <w:rsid w:val="00A85203"/>
    <w:rsid w:val="00AA5083"/>
    <w:rsid w:val="00AB1332"/>
    <w:rsid w:val="00AB1902"/>
    <w:rsid w:val="00AB4516"/>
    <w:rsid w:val="00AB4B8F"/>
    <w:rsid w:val="00AB6138"/>
    <w:rsid w:val="00AC4090"/>
    <w:rsid w:val="00AC6697"/>
    <w:rsid w:val="00AC74E2"/>
    <w:rsid w:val="00AE249A"/>
    <w:rsid w:val="00AE6870"/>
    <w:rsid w:val="00AF3477"/>
    <w:rsid w:val="00AF711B"/>
    <w:rsid w:val="00B006B5"/>
    <w:rsid w:val="00B12E3F"/>
    <w:rsid w:val="00B13FBD"/>
    <w:rsid w:val="00B179F6"/>
    <w:rsid w:val="00B24196"/>
    <w:rsid w:val="00B24AF1"/>
    <w:rsid w:val="00B2628C"/>
    <w:rsid w:val="00B269B3"/>
    <w:rsid w:val="00B33B5D"/>
    <w:rsid w:val="00B35695"/>
    <w:rsid w:val="00B35702"/>
    <w:rsid w:val="00B35D87"/>
    <w:rsid w:val="00B376EA"/>
    <w:rsid w:val="00B414A0"/>
    <w:rsid w:val="00B42E30"/>
    <w:rsid w:val="00B47287"/>
    <w:rsid w:val="00B50027"/>
    <w:rsid w:val="00B7243B"/>
    <w:rsid w:val="00B73C74"/>
    <w:rsid w:val="00B74D88"/>
    <w:rsid w:val="00B76A9E"/>
    <w:rsid w:val="00B80F0D"/>
    <w:rsid w:val="00BA20B0"/>
    <w:rsid w:val="00BA7088"/>
    <w:rsid w:val="00BB7496"/>
    <w:rsid w:val="00BB7D96"/>
    <w:rsid w:val="00BC0708"/>
    <w:rsid w:val="00BC154F"/>
    <w:rsid w:val="00BC295A"/>
    <w:rsid w:val="00BC532A"/>
    <w:rsid w:val="00BD5C52"/>
    <w:rsid w:val="00BF49D6"/>
    <w:rsid w:val="00C01E04"/>
    <w:rsid w:val="00C040BA"/>
    <w:rsid w:val="00C16177"/>
    <w:rsid w:val="00C17EF2"/>
    <w:rsid w:val="00C277F2"/>
    <w:rsid w:val="00C30297"/>
    <w:rsid w:val="00C306B9"/>
    <w:rsid w:val="00C31696"/>
    <w:rsid w:val="00C40F0C"/>
    <w:rsid w:val="00C41F0C"/>
    <w:rsid w:val="00C61DCE"/>
    <w:rsid w:val="00C65508"/>
    <w:rsid w:val="00C700B2"/>
    <w:rsid w:val="00C72912"/>
    <w:rsid w:val="00C752D3"/>
    <w:rsid w:val="00C81F51"/>
    <w:rsid w:val="00C939AE"/>
    <w:rsid w:val="00C974AA"/>
    <w:rsid w:val="00CA1C96"/>
    <w:rsid w:val="00CA280A"/>
    <w:rsid w:val="00CB1A54"/>
    <w:rsid w:val="00CE327C"/>
    <w:rsid w:val="00CE406F"/>
    <w:rsid w:val="00CE614A"/>
    <w:rsid w:val="00CF4A6A"/>
    <w:rsid w:val="00D01043"/>
    <w:rsid w:val="00D01E93"/>
    <w:rsid w:val="00D14967"/>
    <w:rsid w:val="00D14E5C"/>
    <w:rsid w:val="00D237B8"/>
    <w:rsid w:val="00D35A28"/>
    <w:rsid w:val="00D364C7"/>
    <w:rsid w:val="00D40511"/>
    <w:rsid w:val="00D450AA"/>
    <w:rsid w:val="00D63734"/>
    <w:rsid w:val="00D66F25"/>
    <w:rsid w:val="00D704D3"/>
    <w:rsid w:val="00D71568"/>
    <w:rsid w:val="00D725C2"/>
    <w:rsid w:val="00D84776"/>
    <w:rsid w:val="00D91419"/>
    <w:rsid w:val="00D92415"/>
    <w:rsid w:val="00DA763C"/>
    <w:rsid w:val="00DB30E9"/>
    <w:rsid w:val="00DB5ABF"/>
    <w:rsid w:val="00DB6349"/>
    <w:rsid w:val="00DC1320"/>
    <w:rsid w:val="00DC7EF8"/>
    <w:rsid w:val="00DD3279"/>
    <w:rsid w:val="00DD63AC"/>
    <w:rsid w:val="00DD6A0C"/>
    <w:rsid w:val="00DD6ECE"/>
    <w:rsid w:val="00DE532E"/>
    <w:rsid w:val="00DF18EF"/>
    <w:rsid w:val="00DF2596"/>
    <w:rsid w:val="00E05AB3"/>
    <w:rsid w:val="00E12AF7"/>
    <w:rsid w:val="00E26820"/>
    <w:rsid w:val="00E27BA7"/>
    <w:rsid w:val="00E350FB"/>
    <w:rsid w:val="00E47EC6"/>
    <w:rsid w:val="00E52FDA"/>
    <w:rsid w:val="00E5441C"/>
    <w:rsid w:val="00E55582"/>
    <w:rsid w:val="00E55F43"/>
    <w:rsid w:val="00E60A13"/>
    <w:rsid w:val="00E70C66"/>
    <w:rsid w:val="00E97EDB"/>
    <w:rsid w:val="00EA5D71"/>
    <w:rsid w:val="00EA5FA2"/>
    <w:rsid w:val="00EB1032"/>
    <w:rsid w:val="00EB2E03"/>
    <w:rsid w:val="00EC2E5C"/>
    <w:rsid w:val="00ED2468"/>
    <w:rsid w:val="00ED44A0"/>
    <w:rsid w:val="00ED6604"/>
    <w:rsid w:val="00EE18FD"/>
    <w:rsid w:val="00EE24FB"/>
    <w:rsid w:val="00EE71EF"/>
    <w:rsid w:val="00EF5B46"/>
    <w:rsid w:val="00EF646A"/>
    <w:rsid w:val="00EF70C5"/>
    <w:rsid w:val="00EF78D1"/>
    <w:rsid w:val="00F01CA8"/>
    <w:rsid w:val="00F05975"/>
    <w:rsid w:val="00F20FAF"/>
    <w:rsid w:val="00F2162F"/>
    <w:rsid w:val="00F268F6"/>
    <w:rsid w:val="00F2770D"/>
    <w:rsid w:val="00F30297"/>
    <w:rsid w:val="00F3190F"/>
    <w:rsid w:val="00F33D6B"/>
    <w:rsid w:val="00F41801"/>
    <w:rsid w:val="00F50A90"/>
    <w:rsid w:val="00F53881"/>
    <w:rsid w:val="00F62B88"/>
    <w:rsid w:val="00F63D50"/>
    <w:rsid w:val="00F64A3B"/>
    <w:rsid w:val="00F66110"/>
    <w:rsid w:val="00F734A4"/>
    <w:rsid w:val="00F76BF9"/>
    <w:rsid w:val="00F83B60"/>
    <w:rsid w:val="00F91BD5"/>
    <w:rsid w:val="00F94558"/>
    <w:rsid w:val="00F953A9"/>
    <w:rsid w:val="00F9591F"/>
    <w:rsid w:val="00FB501C"/>
    <w:rsid w:val="00FB6307"/>
    <w:rsid w:val="00FC17DF"/>
    <w:rsid w:val="00FC4149"/>
    <w:rsid w:val="00FC657F"/>
    <w:rsid w:val="00FD6343"/>
    <w:rsid w:val="00FE2F91"/>
    <w:rsid w:val="00FF1213"/>
    <w:rsid w:val="00FF18B4"/>
    <w:rsid w:val="00FF5E73"/>
    <w:rsid w:val="21644FD8"/>
    <w:rsid w:val="77EB7F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bshare_count"/>
    <w:basedOn w:val="7"/>
    <w:uiPriority w:val="0"/>
  </w:style>
  <w:style w:type="character" w:customStyle="1" w:styleId="15">
    <w:name w:val="HTML 预设格式 Char"/>
    <w:basedOn w:val="7"/>
    <w:link w:val="5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9">
    <w:name w:val="fontstyle01"/>
    <w:basedOn w:val="7"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20">
    <w:name w:val="fontstyle11"/>
    <w:basedOn w:val="7"/>
    <w:uiPriority w:val="0"/>
    <w:rPr>
      <w:rFonts w:hint="eastAsia" w:ascii="楷体" w:hAnsi="楷体" w:eastAsia="楷体"/>
      <w:color w:val="000000"/>
      <w:sz w:val="32"/>
      <w:szCs w:val="32"/>
    </w:rPr>
  </w:style>
  <w:style w:type="character" w:customStyle="1" w:styleId="21">
    <w:name w:val="fontstyle31"/>
    <w:basedOn w:val="7"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15580-B094-4B9B-A614-AFCF6E64FA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512</Words>
  <Characters>2920</Characters>
  <Lines>24</Lines>
  <Paragraphs>6</Paragraphs>
  <ScaleCrop>false</ScaleCrop>
  <LinksUpToDate>false</LinksUpToDate>
  <CharactersWithSpaces>3426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2023-01-17T02:45:00Z</dcterms:created>
  <dc:creator>党晓晨</dc:creator>
  <cp:lastModifiedBy>徐春明</cp:lastModifiedBy>
  <cp:lastPrinted>2023-01-12T23:57:00Z</cp:lastPrinted>
  <dcterms:modified xsi:type="dcterms:W3CDTF">2023-01-18T02:48:24Z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